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4617D0" w:rsidP="00783817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 xml:space="preserve">Пресс-релиз</w:t>
      </w:r>
      <w:r>
        <w:rPr>
          <w:b w:val="0"/>
          <w:sz w:val="22"/>
          <w:szCs w:val="22"/>
        </w:rPr>
        <w:t xml:space="preserve"> </w:t>
        <w:tab/>
        <w:t xml:space="preserve">Зульц на Неккаре, февраль 2014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4711A8" w:rsidRDefault="004711A8" w:rsidP="00DA6035">
      <w:pPr>
        <w:pStyle w:val="berschrift1"/>
        <w:spacing w:line="276" w:lineRule="auto"/>
        <w:rPr>
          <w:b w:val="0"/>
          <w:bCs/>
          <w:noProof/>
          <w:sz w:val="24"/>
          <w:szCs w:val="24"/>
          <w:lang w:val="de-DE"/>
        </w:rPr>
      </w:pPr>
      <w:r>
        <w:rPr>
          <w:b w:val="0"/>
          <w:bCs/>
          <w:noProof/>
          <w:sz w:val="24"/>
          <w:szCs w:val="24"/>
        </w:rPr>
        <w:t xml:space="preserve">Разумное расширение номенклатурного ряда</w:t>
      </w:r>
    </w:p>
    <w:p w:rsidR="00A3733C" w:rsidRDefault="004711A8" w:rsidP="00EC00AB">
      <w:pPr>
        <w:spacing w:before="240" w:after="60" w:line="276" w:lineRule="auto"/>
        <w:rPr>
          <w:rFonts w:eastAsia="Times"/>
          <w:b/>
          <w:noProof/>
          <w:kern w:val="32"/>
          <w:sz w:val="36"/>
          <w:szCs w:val="36"/>
          <w:lang w:eastAsia="x-none"/>
        </w:rPr>
      </w:pPr>
      <w:r>
        <w:rPr>
          <w:rFonts w:eastAsia="Times"/>
          <w:b/>
          <w:noProof/>
          <w:kern w:val="32"/>
          <w:sz w:val="36"/>
          <w:szCs w:val="36"/>
        </w:rPr>
        <w:t xml:space="preserve">KIPP представлят телескопические шины из нержавеющей стали</w:t>
      </w:r>
    </w:p>
    <w:p w:rsidR="00210655" w:rsidRPr="00210655" w:rsidRDefault="00210655" w:rsidP="00AA3FDA">
      <w:pPr>
        <w:rPr>
          <w:sz w:val="22"/>
          <w:szCs w:val="22"/>
        </w:rPr>
      </w:pPr>
    </w:p>
    <w:p w:rsidR="00A3733C" w:rsidRDefault="00210655" w:rsidP="00DA603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HEINRICH KIPP WERK представляет новый профиль телескопических шин, которые идеально подходят прежде всего при изготовлении оборудования для пищевой промышленности.</w:t>
      </w:r>
    </w:p>
    <w:p w:rsidR="000C2BCB" w:rsidRPr="00A3789F" w:rsidRDefault="000C2BCB" w:rsidP="00DA6035">
      <w:pPr>
        <w:spacing w:line="276" w:lineRule="auto"/>
        <w:rPr>
          <w:bCs/>
          <w:sz w:val="22"/>
          <w:szCs w:val="22"/>
        </w:rPr>
      </w:pPr>
    </w:p>
    <w:p w:rsidR="00721B9E" w:rsidRPr="00A3789F" w:rsidRDefault="00721B9E" w:rsidP="00DA6035">
      <w:pPr>
        <w:spacing w:line="276" w:lineRule="auto"/>
        <w:rPr>
          <w:sz w:val="22"/>
          <w:szCs w:val="22"/>
        </w:rPr>
      </w:pPr>
    </w:p>
    <w:p w:rsidR="00967469" w:rsidRPr="009A3246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  <w:r>
        <w:rPr>
          <w:rFonts w:eastAsia="Times New Roman"/>
          <w:bCs/>
          <w:szCs w:val="22"/>
        </w:rPr>
        <w:t xml:space="preserve">Отличительными показателями телескопических шин KIPP являются простота применения, высокая надёжность и долговечность. Теперь эта группа расширена введением нового профиля из стали и нержавеющей стали, чтобы более точно соответствовать специфическим требованиям широкой целевой аудитории.</w:t>
      </w:r>
    </w:p>
    <w:p w:rsidR="00967469" w:rsidRPr="009A3246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  <w:r>
        <w:rPr>
          <w:rFonts w:eastAsia="Times New Roman"/>
          <w:bCs/>
          <w:szCs w:val="22"/>
        </w:rPr>
        <w:t xml:space="preserve">Телескопические шины KIPP из нержавеющей стали широко применяются в производстве оборудования для пищевой промышленности. Также в машиностроении применение телескопических шин стало неотъемлемой частью складской и производственной оснастки. </w:t>
      </w:r>
    </w:p>
    <w:p w:rsidR="00210655" w:rsidRPr="009A3246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  <w:r>
        <w:rPr>
          <w:rFonts w:eastAsia="Times New Roman"/>
          <w:bCs/>
          <w:szCs w:val="22"/>
        </w:rPr>
        <w:t xml:space="preserve">Следующие области применения - это электромеханика и 19“ техника.</w:t>
      </w:r>
    </w:p>
    <w:p w:rsidR="00210655" w:rsidRPr="009A3246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</w:p>
    <w:p w:rsidR="00783817" w:rsidRPr="00DA6035" w:rsidRDefault="00210655" w:rsidP="00210655">
      <w:pPr>
        <w:pStyle w:val="Pressetext"/>
        <w:spacing w:line="276" w:lineRule="auto"/>
        <w:rPr>
          <w:szCs w:val="22"/>
        </w:rPr>
      </w:pPr>
      <w:r>
        <w:rPr>
          <w:rFonts w:eastAsia="Times New Roman"/>
          <w:bCs/>
          <w:szCs w:val="22"/>
        </w:rPr>
        <w:t xml:space="preserve">Характерной чертой применения телескопических шин KIPP является быстрый и простой монтаж    посредством винтов и заклёпок. Шины состоят из трёх отдельных профилей  и могут устанавливаться непосредственно на подвижные и фиксированные элементы конструкций. Сразу после установки телескопические шины полностью готовы к работе на открывание и закрывание. Благодаря предварительной обработки специальной консистентной смазкой эта продукция очень долговечна и не нуждается в дальнейшем обслуживании.  Телескопических шин KIPP обеспечивают высокую устойчивость даже при максимальной нагрузке и в полностью выдвинутом положении.  </w:t>
      </w:r>
    </w:p>
    <w:p w:rsidR="00783817" w:rsidRPr="0030295B" w:rsidRDefault="00783817" w:rsidP="00783817">
      <w:pPr>
        <w:pStyle w:val="Pressetext"/>
      </w:pPr>
    </w:p>
    <w:p w:rsidR="00783817" w:rsidRPr="003274EE" w:rsidRDefault="00783817" w:rsidP="00783817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Знаки со знакоми пробела: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Заголовок: 46 знаков</w:t>
      </w:r>
    </w:p>
    <w:p w:rsidR="00783817" w:rsidRPr="003274EE" w:rsidRDefault="00EA130D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Подзаголовок: 36 знаков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Текст: 1.440 знаков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Всего: 1.522 знаков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0E5B84" w:rsidRDefault="00783817" w:rsidP="00783817">
      <w:pPr>
        <w:pStyle w:val="Pressetext"/>
      </w:pPr>
    </w:p>
    <w:p w:rsidR="00783817" w:rsidRPr="003274EE" w:rsidRDefault="00AE0177" w:rsidP="00AE0177">
      <w:pPr>
        <w:pStyle w:val="Pressetext"/>
        <w:rPr>
          <w:rFonts w:cs="Arial"/>
          <w:sz w:val="20"/>
        </w:rPr>
      </w:pPr>
      <w:r>
        <w:br w:type="page"/>
      </w:r>
      <w:r>
        <w:rPr>
          <w:rFonts w:cs="Arial"/>
          <w:sz w:val="20"/>
        </w:rPr>
        <w:lastRenderedPageBreak/>
      </w:r>
      <w:r>
        <w:rPr>
          <w:rFonts w:cs="Arial"/>
          <w:sz w:val="20"/>
        </w:rPr>
        <w:t xml:space="preserve">HEINRICH KIPP WERK KG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 xml:space="preserve">Штефани Бекк, маркетинг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 xml:space="preserve">Хойбергштрассе 2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 xml:space="preserve">72172 Зульц на Неккаре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 xml:space="preserve">Телефон: 07454 793-30</w:t>
      </w:r>
    </w:p>
    <w:p w:rsidR="00783817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е-mail: s.beck@kipp.com </w:t>
      </w:r>
    </w:p>
    <w:p w:rsidR="00783817" w:rsidRPr="00324DD3" w:rsidRDefault="00783817" w:rsidP="00783817">
      <w:pPr>
        <w:rPr>
          <w:sz w:val="20"/>
          <w:szCs w:val="20"/>
        </w:rPr>
      </w:pPr>
    </w:p>
    <w:p w:rsidR="00783817" w:rsidRPr="003274EE" w:rsidRDefault="00783817" w:rsidP="00783817">
      <w:pPr>
        <w:pStyle w:val="berschrift3"/>
      </w:pPr>
      <w:r>
        <w:t xml:space="preserve">Дополнительная информация и фотографии</w:t>
      </w:r>
    </w:p>
    <w:p w:rsidR="00783817" w:rsidRDefault="00783817" w:rsidP="00783817">
      <w:pPr>
        <w:rPr>
          <w:sz w:val="20"/>
        </w:rPr>
      </w:pPr>
      <w:r>
        <w:rPr>
          <w:sz w:val="20"/>
        </w:rPr>
        <w:t xml:space="preserve">См. www.kipp.com, регион: Германия, рубрика: новости/пресса</w:t>
      </w:r>
    </w:p>
    <w:p w:rsidR="00783817" w:rsidRPr="00634D5D" w:rsidRDefault="00783817" w:rsidP="00783817">
      <w:pPr>
        <w:rPr>
          <w:sz w:val="20"/>
        </w:rPr>
      </w:pPr>
    </w:p>
    <w:p w:rsidR="00783817" w:rsidRPr="003274EE" w:rsidRDefault="00783817" w:rsidP="00783817">
      <w:pPr>
        <w:rPr>
          <w:rFonts w:cs="Arial"/>
          <w:sz w:val="20"/>
          <w:szCs w:val="20"/>
        </w:rPr>
      </w:pPr>
    </w:p>
    <w:p w:rsidR="00AE0177" w:rsidRDefault="00AE0177" w:rsidP="00783817">
      <w:pPr>
        <w:pStyle w:val="berschrift3"/>
        <w:rPr>
          <w:lang w:val="de-DE"/>
        </w:rPr>
      </w:pPr>
    </w:p>
    <w:p w:rsidR="00AE0177" w:rsidRDefault="00AE0177" w:rsidP="00783817">
      <w:pPr>
        <w:pStyle w:val="berschrift3"/>
        <w:rPr>
          <w:lang w:val="de-DE"/>
        </w:rPr>
      </w:pPr>
    </w:p>
    <w:p w:rsidR="00783817" w:rsidRDefault="00783817" w:rsidP="00783817">
      <w:pPr>
        <w:pStyle w:val="berschrift3"/>
      </w:pPr>
      <w:r>
        <w:t xml:space="preserve">Фотография</w:t>
      </w:r>
    </w:p>
    <w:p w:rsidR="00783817" w:rsidRPr="008A4372" w:rsidRDefault="00783817" w:rsidP="00783817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4"/>
        <w:gridCol w:w="4883"/>
      </w:tblGrid>
      <w:tr w:rsidR="00783817" w:rsidRPr="003274EE">
        <w:tc>
          <w:tcPr>
            <w:tcW w:w="4594" w:type="dxa"/>
          </w:tcPr>
          <w:p w:rsidR="00783817" w:rsidRDefault="007612CB" w:rsidP="00783817">
            <w:pPr>
              <w:rPr>
                <w:sz w:val="20"/>
              </w:rPr>
            </w:pPr>
            <w:r>
              <w:rPr>
                <w:sz w:val="20"/>
              </w:rPr>
              <w:t xml:space="preserve">Расширение ассортимента продукции из стали и нержавеющей стали</w:t>
            </w:r>
          </w:p>
          <w:p w:rsidR="00783817" w:rsidRPr="00362FE9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Default="00783817" w:rsidP="00783817">
            <w:pPr>
              <w:rPr>
                <w:noProof/>
                <w:sz w:val="20"/>
              </w:rPr>
            </w:pPr>
          </w:p>
          <w:p w:rsidR="0095515C" w:rsidRDefault="004617D0" w:rsidP="00783817">
            <w:pPr>
              <w:rPr>
                <w:noProof/>
                <w:sz w:val="20"/>
              </w:rPr>
            </w:pPr>
            <w:r w:rsidRPr="006E2CA6">
              <w:rPr>
                <w:noProof/>
                <w:lang w:eastAsia="ja-JP"/>
              </w:rPr>
              <w:drawing>
                <wp:inline distT="0" distB="0" distL="0" distR="0">
                  <wp:extent cx="2958465" cy="1774825"/>
                  <wp:effectExtent l="0" t="0" r="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465" cy="177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sz w:val="20"/>
              </w:rPr>
            </w:pPr>
          </w:p>
          <w:p w:rsidR="00783817" w:rsidRDefault="00783817" w:rsidP="00783817">
            <w:pPr>
              <w:rPr>
                <w:sz w:val="20"/>
              </w:rPr>
            </w:pPr>
            <w:r>
              <w:rPr>
                <w:sz w:val="20"/>
              </w:rPr>
              <w:t xml:space="preserve">Файл изображения:  KIPP-Teleskopschienen Edelstahl.jpg</w:t>
            </w:r>
          </w:p>
          <w:p w:rsidR="00783817" w:rsidRPr="00ED01E4" w:rsidRDefault="00783817" w:rsidP="00783817">
            <w:pPr>
              <w:rPr>
                <w:sz w:val="20"/>
              </w:rPr>
            </w:pPr>
          </w:p>
        </w:tc>
      </w:tr>
      <w:tr w:rsidR="00783817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  <w:tr w:rsidR="00783817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3817" w:rsidRPr="003274EE" w:rsidRDefault="00783817"/>
    <w:sectPr w:rsidR="00783817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69" w:rsidRDefault="00DC1269">
      <w:r>
        <w:separator/>
      </w:r>
    </w:p>
  </w:endnote>
  <w:endnote w:type="continuationSeparator" w:id="0">
    <w:p w:rsidR="00DC1269" w:rsidRDefault="00DC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4617D0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69" w:rsidRDefault="00DC1269">
      <w:r>
        <w:separator/>
      </w:r>
    </w:p>
  </w:footnote>
  <w:footnote w:type="continuationSeparator" w:id="0">
    <w:p w:rsidR="00DC1269" w:rsidRDefault="00DC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4350D"/>
    <w:rsid w:val="00075035"/>
    <w:rsid w:val="0009007F"/>
    <w:rsid w:val="000C2BCB"/>
    <w:rsid w:val="001339DE"/>
    <w:rsid w:val="00173AD9"/>
    <w:rsid w:val="001C5D12"/>
    <w:rsid w:val="00210153"/>
    <w:rsid w:val="00210655"/>
    <w:rsid w:val="002D7C6C"/>
    <w:rsid w:val="003376F5"/>
    <w:rsid w:val="00344FF7"/>
    <w:rsid w:val="00392FF3"/>
    <w:rsid w:val="00415C62"/>
    <w:rsid w:val="004375D2"/>
    <w:rsid w:val="00444C4B"/>
    <w:rsid w:val="00451752"/>
    <w:rsid w:val="0045707C"/>
    <w:rsid w:val="004617D0"/>
    <w:rsid w:val="004711A8"/>
    <w:rsid w:val="00496518"/>
    <w:rsid w:val="004B015B"/>
    <w:rsid w:val="004C2291"/>
    <w:rsid w:val="005100EC"/>
    <w:rsid w:val="005904DC"/>
    <w:rsid w:val="00595330"/>
    <w:rsid w:val="005A5A84"/>
    <w:rsid w:val="00645FBD"/>
    <w:rsid w:val="00677302"/>
    <w:rsid w:val="006E09D7"/>
    <w:rsid w:val="006E623B"/>
    <w:rsid w:val="006E7A95"/>
    <w:rsid w:val="00713FCC"/>
    <w:rsid w:val="00721B9E"/>
    <w:rsid w:val="00744C8F"/>
    <w:rsid w:val="007612CB"/>
    <w:rsid w:val="007819BF"/>
    <w:rsid w:val="00783817"/>
    <w:rsid w:val="00786BAF"/>
    <w:rsid w:val="007B482A"/>
    <w:rsid w:val="00856392"/>
    <w:rsid w:val="00866A85"/>
    <w:rsid w:val="00873431"/>
    <w:rsid w:val="00883042"/>
    <w:rsid w:val="0095515C"/>
    <w:rsid w:val="00967469"/>
    <w:rsid w:val="009A3246"/>
    <w:rsid w:val="00A16E43"/>
    <w:rsid w:val="00A372BE"/>
    <w:rsid w:val="00A3733C"/>
    <w:rsid w:val="00A3789F"/>
    <w:rsid w:val="00A42E0D"/>
    <w:rsid w:val="00A60D1F"/>
    <w:rsid w:val="00A6226B"/>
    <w:rsid w:val="00AA3FDA"/>
    <w:rsid w:val="00AE0177"/>
    <w:rsid w:val="00BE3937"/>
    <w:rsid w:val="00BF3FE9"/>
    <w:rsid w:val="00C56C4B"/>
    <w:rsid w:val="00C873E0"/>
    <w:rsid w:val="00D12D81"/>
    <w:rsid w:val="00D610DD"/>
    <w:rsid w:val="00DA6035"/>
    <w:rsid w:val="00DC1269"/>
    <w:rsid w:val="00DE744E"/>
    <w:rsid w:val="00E11211"/>
    <w:rsid w:val="00E60EE7"/>
    <w:rsid w:val="00EA130D"/>
    <w:rsid w:val="00EC00AB"/>
    <w:rsid w:val="00F0556A"/>
    <w:rsid w:val="00F101F6"/>
    <w:rsid w:val="00F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29BBB8-A967-4CB5-8D07-F3B39D37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EF8E8E33.dotm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2061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</cp:revision>
  <cp:lastPrinted>2013-07-15T11:09:00Z</cp:lastPrinted>
  <dcterms:created xsi:type="dcterms:W3CDTF">2014-02-28T09:06:00Z</dcterms:created>
  <dcterms:modified xsi:type="dcterms:W3CDTF">2014-02-28T09:06:00Z</dcterms:modified>
</cp:coreProperties>
</file>