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4FC90558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color w:val="000000" w:themeColor="text1"/>
          <w:sz w:val="18"/>
          <w:szCs w:val="18"/>
        </w:rPr>
        <w:t xml:space="preserve">Sulz am Neckar, květen 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7AD6A2B9" w14:textId="77777777" w:rsidR="0068389F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ascii="Arial" w:eastAsia="Times" w:hAnsi="Arial"/>
          <w:b/>
          <w:kern w:val="32"/>
          <w:sz w:val="32"/>
          <w:szCs w:val="32"/>
        </w:rPr>
        <w:br/>
      </w:r>
      <w:r>
        <w:rPr>
          <w:rFonts w:ascii="Arial" w:eastAsia="Times" w:hAnsi="Arial"/>
          <w:b/>
          <w:bCs/>
          <w:color w:val="000000" w:themeColor="text1"/>
          <w:kern w:val="32"/>
          <w:sz w:val="32"/>
          <w:szCs w:val="32"/>
        </w:rPr>
        <w:t xml:space="preserve">Novinka od společnosti KIPP: </w:t>
      </w:r>
    </w:p>
    <w:p w14:paraId="09B00A22" w14:textId="6B1E0C9C" w:rsidR="00620649" w:rsidRPr="00F16890" w:rsidRDefault="00712CF5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ascii="Arial" w:eastAsia="Times" w:hAnsi="Arial"/>
          <w:b/>
          <w:bCs/>
          <w:color w:val="000000" w:themeColor="text1"/>
          <w:kern w:val="32"/>
          <w:sz w:val="32"/>
          <w:szCs w:val="32"/>
        </w:rPr>
        <w:t xml:space="preserve">Aretační čepy s integrovaným snímačem stavu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AE694CE" w14:textId="3E42C64B" w:rsidR="00F43D03" w:rsidRPr="00F43D03" w:rsidRDefault="00024B02" w:rsidP="00705204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Společnost HEINRICH KIPP WERK uvedla na trh velmi speciální aretační čepy s integrovaným snímačem, který detekuje stav ovládání.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Signál je zpracován ve hřibové rukojeti a bezdrátovým způsobem přenášen do řízení stroje nebo mobilního koncového zařízení.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Aretační čepy patří k výrobní řadě </w:t>
      </w:r>
      <w:hyperlink r:id="rId7" w:history="1" w:tooltip="">
        <w:r>
          <w:rPr>
            <w:rFonts w:ascii="Arial" w:hAnsi="Arial" w:cs="Arial"/>
            <w:rStyle w:val="Hyperlink"/>
            <w:b/>
            <w:szCs w:val="22"/>
          </w:rPr>
          <w:t xml:space="preserve">FEATURE grip</w:t>
        </w:r>
      </w:hyperlink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, jehož zvláštností je instalace integrovaných elektromechanických a senzorických prvků.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Poskytují zpětnou vazbu o určitých parametrech nebo stavech a připravují tak cestu pro pokročilou digitalizaci s ohledem na Průmysl 4.0.</w:t>
      </w:r>
    </w:p>
    <w:p w14:paraId="36FB5757" w14:textId="77777777" w:rsidR="00F43D03" w:rsidRDefault="00F43D03" w:rsidP="00705204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202FDE7" w14:textId="0D3F84EC" w:rsidR="00671DBA" w:rsidRPr="006E730D" w:rsidRDefault="00671DBA" w:rsidP="00671DBA">
      <w:pPr>
        <w:spacing w:line="300" w:lineRule="auto"/>
        <w:rPr>
          <w:rFonts w:cs="Arial"/>
          <w:color w:val="000000" w:themeColor="text1"/>
          <w:sz w:val="22"/>
          <w:szCs w:val="22"/>
        </w:rPr>
      </w:pPr>
      <w:hyperlink r:id="rId8" w:history="1" w:tooltip="">
        <w:r>
          <w:rPr>
            <w:rFonts w:ascii="Arial" w:hAnsi="Arial" w:cs="Arial"/>
            <w:rStyle w:val="Hyperlink"/>
            <w:szCs w:val="22"/>
          </w:rPr>
          <w:t xml:space="preserve">Aretační čepy FEATURE grip se snímačem stavu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přispívají ke spolehlivosti procesu, která je ve strojírenství stále důležitější.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Uživatel se může centrálně dotázat, zda je čep vytažen, nebo ne.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Prostřednictvím řízení stroje lze tak například stanovit, že obráběcí cyklus začne teprve tehdy, když jsou všechny čepy ve správné poloze.</w:t>
      </w:r>
    </w:p>
    <w:p w14:paraId="6D9EBA89" w14:textId="77777777" w:rsidR="00F43D03" w:rsidRDefault="00F43D03" w:rsidP="00705204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1885C70" w14:textId="045BD6AC" w:rsidR="00671914" w:rsidRPr="00671914" w:rsidRDefault="00F43D03" w:rsidP="0067191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 připojení k řídicímu systému nabízí KIPP vhodnou bránu </w:t>
      </w:r>
      <w:hyperlink r:id="rId9" w:history="1" w:tooltip="">
        <w:r>
          <w:rPr>
            <w:rFonts w:ascii="Arial" w:hAnsi="Arial" w:cs="Arial"/>
            <w:rStyle w:val="Hyperlink"/>
            <w:szCs w:val="22"/>
          </w:rPr>
          <w:t xml:space="preserve">Brána K1494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Rozhraní umožňuje integraci aretačních čepaldo strojů a zařízení.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umožňuje zobrazit a zkontrolovat stavy ovládání komponent a použít je pro řízení procesu.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Připojením k řídicí jednotce stroje je možné zpracovávat informace až ze šesti aretačních čepů současně - uživatelé však mohou tento počet libovolně rozšířit pomocí dalších bran.</w:t>
      </w:r>
    </w:p>
    <w:p w14:paraId="0D011212" w14:textId="77777777" w:rsidR="00671914" w:rsidRDefault="00671914" w:rsidP="00705204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196911A" w14:textId="33C4CEED" w:rsidR="00671914" w:rsidRPr="00671914" w:rsidRDefault="00671914" w:rsidP="0067191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Významnou výhodou aretační čepů se snímačem stavu je bezdrátový přenos stavu ovládání pomocí technologie Bluetooth Low Energy.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Brána přitom přijímá rádiový signál a mění jej na normovaný výstupní signál.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Komunikace mezi aretačním čepem a přijímačem brány je šifrovaná a tudíž bezpečná.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Systém má dosah přenosu až do 10 metrů.</w:t>
      </w:r>
    </w:p>
    <w:p w14:paraId="2937E09D" w14:textId="77777777" w:rsidR="00671914" w:rsidRDefault="00671914" w:rsidP="00705204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DC95A25" w14:textId="2A868E32" w:rsidR="00705204" w:rsidRPr="00EE31B4" w:rsidRDefault="00F43D03" w:rsidP="0070520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Napájení aretačního čepu se uskutečňuje prostřednictvím integrované knoflíkové baterie, kterou lze v případě potřeby vyměnit.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Inteligentní management energie prodlužuje životnost baterie.</w:t>
      </w:r>
    </w:p>
    <w:p w14:paraId="14A39822" w14:textId="77777777" w:rsidR="00DB1F14" w:rsidRPr="004E258A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70D5B7D2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(Znaky s mezerami: 2.035 znaků)</w:t>
      </w:r>
    </w:p>
    <w:p w14:paraId="2DE2B37E" w14:textId="62C67B53" w:rsidR="00D91134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37618D5" w14:textId="14A3A2FC" w:rsidR="0028080E" w:rsidRDefault="0028080E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4B05DE9" w14:textId="5D0F8E9B" w:rsidR="0028080E" w:rsidRDefault="0028080E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8DEBDC8" w14:textId="77777777" w:rsidR="0028080E" w:rsidRPr="004E258A" w:rsidRDefault="0028080E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80E0F4A" w14:textId="3A498163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Přehled obrázku:</w:t>
      </w:r>
    </w:p>
    <w:p w14:paraId="30F5810B" w14:textId="2557417A" w:rsidR="0071193B" w:rsidRPr="0071193B" w:rsidRDefault="0001374F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1F77A05E" wp14:editId="5BB603E1">
            <wp:extent cx="2912533" cy="337853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PP-FeatureGrip-Titelbild-cmyk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186" cy="341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584F" w14:textId="77777777" w:rsidR="00451092" w:rsidRDefault="00451092" w:rsidP="001A7D15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2A7BC114" w14:textId="70BFB157" w:rsidR="00C5644B" w:rsidRDefault="0001374F" w:rsidP="001A7D15">
      <w:pPr>
        <w:pStyle w:val="Pressetext"/>
        <w:spacing w:line="300" w:lineRule="auto"/>
        <w:rPr>
          <w:b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 xml:space="preserve">Společnost HEINRICH KIPP WERK uvedla na trh velmi speciální aretační čepy s integrovaným snímačem, který detekuje stav řízení.</w:t>
      </w:r>
    </w:p>
    <w:p w14:paraId="691DD604" w14:textId="6C5F925B" w:rsidR="0071193B" w:rsidRDefault="0071193B" w:rsidP="001A7D15">
      <w:pPr>
        <w:pStyle w:val="Pressetext"/>
        <w:spacing w:line="300" w:lineRule="auto"/>
        <w:rPr>
          <w:b/>
          <w:szCs w:val="22"/>
        </w:rPr>
      </w:pPr>
    </w:p>
    <w:p w14:paraId="297EAE16" w14:textId="7BE953BC" w:rsidR="00451092" w:rsidRDefault="00451092" w:rsidP="001A7D15">
      <w:pPr>
        <w:pStyle w:val="Pressetext"/>
        <w:spacing w:line="300" w:lineRule="auto"/>
        <w:rPr>
          <w:b/>
          <w:szCs w:val="22"/>
        </w:rPr>
      </w:pPr>
    </w:p>
    <w:p w14:paraId="413E5A05" w14:textId="77777777" w:rsidR="00451092" w:rsidRDefault="00451092" w:rsidP="001A7D15">
      <w:pPr>
        <w:pStyle w:val="Pressetext"/>
        <w:spacing w:line="300" w:lineRule="auto"/>
        <w:rPr>
          <w:b/>
          <w:szCs w:val="22"/>
        </w:rPr>
      </w:pPr>
    </w:p>
    <w:p w14:paraId="3B0B6D47" w14:textId="4712484B" w:rsidR="007D6394" w:rsidRPr="00AC0506" w:rsidRDefault="00AA444D" w:rsidP="001A7D15">
      <w:pPr>
        <w:pStyle w:val="Pressetext"/>
        <w:spacing w:line="300" w:lineRule="auto"/>
        <w:rPr>
          <w:szCs w:val="22"/>
          <w:lang w:val="en-US"/>
        </w:rPr>
      </w:pPr>
      <w:r>
        <w:rPr>
          <w:b/>
          <w:szCs w:val="22"/>
        </w:rPr>
        <w:t xml:space="preserve">Hypertextový odkaz:</w:t>
      </w:r>
      <w:r>
        <w:rPr>
          <w:szCs w:val="22"/>
        </w:rPr>
        <w:t xml:space="preserve"> </w:t>
      </w:r>
    </w:p>
    <w:p w14:paraId="6001A4B7" w14:textId="77777777" w:rsidR="006E730D" w:rsidRPr="00AC0506" w:rsidRDefault="0068389F" w:rsidP="006E730D">
      <w:pPr>
        <w:pStyle w:val="Pressetext"/>
        <w:spacing w:line="300" w:lineRule="auto"/>
        <w:rPr>
          <w:lang w:val="en-US"/>
        </w:rPr>
      </w:pPr>
      <w:r>
        <w:rPr/>
        <w:fldChar w:fldCharType="begin"/>
      </w:r>
      <w:r>
        <w:instrText xml:space="preserve"> HYPERLINK "https://www.kippwerk.de/de/de/Produkte/Produktlinien/FEATURE-grip.html" </w:instrText>
      </w:r>
      <w:r>
        <w:fldChar w:fldCharType="separate"/>
      </w:r>
      <w:r>
        <w:rPr>
          <w:rStyle w:val="Hyperlink"/>
        </w:rPr>
        <w:t xml:space="preserve">https://www.kippwerk.de/de/de/Produkte/Produktlinien/FEATURE-grip.html</w:t>
      </w:r>
      <w:r>
        <w:fldChar w:fldCharType="end"/>
      </w:r>
    </w:p>
    <w:p w14:paraId="53666E5B" w14:textId="1DACD563" w:rsidR="006A3EE3" w:rsidRDefault="0068389F" w:rsidP="006E730D">
      <w:pPr>
        <w:pStyle w:val="Pressetext"/>
        <w:spacing w:line="300" w:lineRule="auto"/>
        <w:rPr>
          <w:lang w:val="en-US"/>
        </w:rPr>
      </w:pPr>
      <w:r>
        <w:rPr/>
        <w:fldChar w:fldCharType="begin"/>
      </w:r>
      <w:r>
        <w:instrText xml:space="preserve"> HYPERLINK "https://www.kippwerk.de/de/de/News/KIPP-News/Arretierbolzen-für-die-Industrie-4-0.html" </w:instrText>
      </w:r>
      <w:r>
        <w:fldChar w:fldCharType="separate"/>
      </w:r>
      <w:r>
        <w:rPr>
          <w:rStyle w:val="Hyperlink"/>
        </w:rPr>
        <w:t xml:space="preserve">https://www.kippwerk.de/de/de/News/KIPP-News/Arretierbolzen-für-die-Industrie-4-0.html</w:t>
      </w:r>
      <w:r>
        <w:fldChar w:fldCharType="end"/>
      </w:r>
    </w:p>
    <w:p w14:paraId="3D6284A2" w14:textId="10103C13" w:rsidR="00604DE5" w:rsidRPr="009546E3" w:rsidRDefault="00604DE5" w:rsidP="00AA444D">
      <w:pPr>
        <w:pStyle w:val="Pressetext"/>
        <w:spacing w:line="300" w:lineRule="auto"/>
        <w:rPr>
          <w:b/>
          <w:szCs w:val="22"/>
          <w:lang w:val="en-US"/>
        </w:rPr>
      </w:pPr>
    </w:p>
    <w:p w14:paraId="59DD589A" w14:textId="77777777" w:rsidR="00451092" w:rsidRPr="009546E3" w:rsidRDefault="00451092" w:rsidP="00AA444D">
      <w:pPr>
        <w:pStyle w:val="Pressetext"/>
        <w:spacing w:line="300" w:lineRule="auto"/>
        <w:rPr>
          <w:b/>
          <w:szCs w:val="22"/>
          <w:lang w:val="en-US"/>
        </w:rPr>
      </w:pPr>
    </w:p>
    <w:p w14:paraId="55E40D01" w14:textId="77777777" w:rsidR="00B80952" w:rsidRPr="00AA444D" w:rsidRDefault="00B80952" w:rsidP="00B80952">
      <w:pPr>
        <w:spacing w:line="30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Další informace a tiskové fotografie</w:t>
      </w:r>
    </w:p>
    <w:p w14:paraId="28D3BAA1" w14:textId="77777777" w:rsidR="00B80952" w:rsidRPr="00B80952" w:rsidRDefault="00B80952" w:rsidP="00B80952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Viz: www.kipp.cz, region: Německo, rubrika: novinky/tiskové oddělení</w:t>
      </w:r>
    </w:p>
    <w:p w14:paraId="14D236A1" w14:textId="1B9CF286" w:rsidR="00AA444D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F10CBB4" w14:textId="77777777" w:rsidR="00451092" w:rsidRPr="00D5588A" w:rsidRDefault="00451092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751B0311" w14:textId="77777777" w:rsidR="00451092" w:rsidRDefault="00CD46D3" w:rsidP="00F83EA8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Meta-Title:</w:t>
      </w:r>
    </w:p>
    <w:p w14:paraId="6E5341A6" w14:textId="442CBB87" w:rsidR="00BC384F" w:rsidRDefault="00963239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 xml:space="preserve">Aretační čepy s integrovaným snímačem stavu</w:t>
      </w:r>
    </w:p>
    <w:p w14:paraId="602C0404" w14:textId="77777777" w:rsidR="00451092" w:rsidRDefault="00451092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6ED47448" w14:textId="77777777" w:rsidR="00451092" w:rsidRDefault="00CD46D3" w:rsidP="00F83EA8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Meta-Description:</w:t>
      </w:r>
    </w:p>
    <w:p w14:paraId="43226A29" w14:textId="0322F367" w:rsidR="00D91134" w:rsidRPr="00D5588A" w:rsidRDefault="00963239" w:rsidP="00F83EA8">
      <w:pPr>
        <w:pStyle w:val="Pressetext"/>
        <w:spacing w:line="300" w:lineRule="auto"/>
        <w:rPr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 xml:space="preserve">Společnost HEINRICH KIPP WERK uvedla na trh velmi speciální aretační čepy s integrovaným snímačem, který detekuje stav řízení.</w:t>
      </w:r>
    </w:p>
    <w:p w14:paraId="1A4F915F" w14:textId="677DE3F1" w:rsidR="00AA444D" w:rsidRDefault="00AA444D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639E8311" w14:textId="5317204E" w:rsidR="00451092" w:rsidRDefault="00451092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393F3737" w14:textId="6A51B9C2" w:rsidR="00451092" w:rsidRDefault="00451092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5C503AA4" w14:textId="77777777" w:rsidR="00451092" w:rsidRPr="00D5588A" w:rsidRDefault="00451092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36FEDC2F" w14:textId="77777777" w:rsidR="00451092" w:rsidRDefault="001117AE" w:rsidP="00F83EA8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Keywords:</w:t>
      </w:r>
    </w:p>
    <w:p w14:paraId="7988A141" w14:textId="6EE06339" w:rsidR="001117AE" w:rsidRPr="00D5588A" w:rsidRDefault="00604DE5" w:rsidP="00F83EA8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KIPP, HEINRICH KIPP WERK, aretační čep, integrovaný snímač, snímač stavu, FEATURE grip, brána, Průmysl 4.0</w:t>
      </w:r>
    </w:p>
    <w:p w14:paraId="099F4037" w14:textId="0CE68664" w:rsidR="00CD46D3" w:rsidRDefault="00CD46D3" w:rsidP="00F83EA8">
      <w:pPr>
        <w:pStyle w:val="Pressetext"/>
        <w:spacing w:line="300" w:lineRule="auto"/>
        <w:rPr>
          <w:b/>
          <w:szCs w:val="22"/>
        </w:rPr>
      </w:pPr>
    </w:p>
    <w:p w14:paraId="02BE5185" w14:textId="77777777" w:rsidR="00451092" w:rsidRPr="00AA444D" w:rsidRDefault="00451092" w:rsidP="00F83EA8">
      <w:pPr>
        <w:pStyle w:val="Pressetext"/>
        <w:spacing w:line="300" w:lineRule="auto"/>
        <w:rPr>
          <w:b/>
          <w:szCs w:val="22"/>
        </w:rPr>
      </w:pPr>
    </w:p>
    <w:p w14:paraId="3D6F2C5D" w14:textId="77777777" w:rsidR="008860A1" w:rsidRPr="00294B58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Download-Area:</w:t>
      </w:r>
    </w:p>
    <w:p w14:paraId="6D05AFF8" w14:textId="77777777" w:rsidR="00B80952" w:rsidRPr="00294B58" w:rsidRDefault="0068389F" w:rsidP="00B80952">
      <w:pPr>
        <w:spacing w:line="300" w:lineRule="auto"/>
        <w:rPr>
          <w:rFonts w:cs="Arial"/>
          <w:b/>
          <w:sz w:val="22"/>
          <w:szCs w:val="22"/>
        </w:rPr>
      </w:pPr>
      <w:hyperlink r:id="rId11" w:history="1" w:tooltip="">
        <w:r>
          <w:rPr>
            <w:rStyle w:val="Hyperlink"/>
          </w:rPr>
          <w:t xml:space="preserve">https://www.kippwerk.de/de/de/Download/Pressebereich.html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264D2C" w14:textId="5A4A0EB7" w:rsidR="005F0F44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6623738C" w14:textId="7914B65F" w:rsidR="00451092" w:rsidRDefault="00451092" w:rsidP="005F0F44">
      <w:pPr>
        <w:pStyle w:val="Pressetext"/>
        <w:spacing w:line="300" w:lineRule="auto"/>
        <w:rPr>
          <w:rFonts w:cs="Arial"/>
          <w:szCs w:val="22"/>
        </w:rPr>
      </w:pPr>
    </w:p>
    <w:p w14:paraId="2AA545A9" w14:textId="216E34A5" w:rsidR="00451092" w:rsidRDefault="00451092" w:rsidP="005F0F44">
      <w:pPr>
        <w:pStyle w:val="Pressetext"/>
        <w:spacing w:line="300" w:lineRule="auto"/>
        <w:rPr>
          <w:rFonts w:cs="Arial"/>
          <w:szCs w:val="22"/>
        </w:rPr>
      </w:pPr>
    </w:p>
    <w:p w14:paraId="1BE66606" w14:textId="77777777" w:rsidR="00451092" w:rsidRPr="0062779B" w:rsidRDefault="00451092" w:rsidP="005F0F44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62779B" w:rsidRDefault="00E4411B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HEINRICH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KIPP WERK GmbH &amp; Co. KG</w:t>
      </w:r>
    </w:p>
    <w:p w14:paraId="6B414E9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Kateřina Bradáčová, marketing</w:t>
      </w:r>
    </w:p>
    <w:p w14:paraId="4370325F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Vienna Point 2 </w:t>
        <w:br/>
        <w:t xml:space="preserve">Vídeňská 188/119d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Dolní Heršpice, 619 00 Brno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07454 793-30</w:t>
      </w:r>
    </w:p>
    <w:p w14:paraId="03AD4BBD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katerina.bradacova@kipp.com</w:t>
      </w:r>
    </w:p>
    <w:p w14:paraId="5A68891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775F6FCC" w14:textId="77777777" w:rsidR="005F0F44" w:rsidRPr="0062779B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Tisková kancelář: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Köhler + Partner GmbH</w:t>
      </w:r>
    </w:p>
    <w:p w14:paraId="6ECAFEA4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Brauerstraße 42 </w:t>
      </w:r>
      <w:r>
        <w:rPr>
          <w:rFonts w:ascii="Symbol" w:hAnsi="Symbol"/>
          <w:color w:val="000000" w:themeColor="text1"/>
          <w:sz w:val="22"/>
          <w:szCs w:val="22"/>
        </w:rPr>
        <w:t xml:space="preserve">·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21244 Buchholz i.d.N.</w:t>
      </w:r>
    </w:p>
    <w:p w14:paraId="7C97CCD1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Telefon +49 (0) 4181 92892-0 </w:t>
      </w:r>
      <w:r>
        <w:rPr>
          <w:rFonts w:ascii="Symbol" w:hAnsi="Symbol"/>
          <w:color w:val="000000" w:themeColor="text1"/>
          <w:sz w:val="22"/>
          <w:szCs w:val="22"/>
        </w:rPr>
        <w:t xml:space="preserve">·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Fax +49 (0) 4181 92892-55</w:t>
      </w:r>
    </w:p>
    <w:p w14:paraId="669955D9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info@koehler-partner.de </w:t>
      </w:r>
      <w:r>
        <w:rPr>
          <w:rFonts w:ascii="Symbol" w:hAnsi="Symbol"/>
          <w:color w:val="000000" w:themeColor="text1"/>
          <w:sz w:val="22"/>
          <w:szCs w:val="22"/>
        </w:rPr>
        <w:t xml:space="preserve">·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www.koehler-partner.de</w:t>
      </w:r>
    </w:p>
    <w:p w14:paraId="237F63A4" w14:textId="77777777" w:rsidR="00B80952" w:rsidRPr="00AA444D" w:rsidRDefault="00B80952" w:rsidP="005F0F44">
      <w:pPr>
        <w:pStyle w:val="Pressetext"/>
        <w:spacing w:line="300" w:lineRule="auto"/>
        <w:rPr>
          <w:szCs w:val="22"/>
        </w:rPr>
      </w:pPr>
    </w:p>
    <w:sectPr w:rsidR="00B80952" w:rsidRPr="00AA444D" w:rsidSect="006C63DB">
      <w:headerReference w:type="default" r:id="rId12"/>
      <w:footerReference w:type="default" r:id="rId13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2EDBF" w14:textId="77777777" w:rsidR="00D33932" w:rsidRDefault="00D33932">
      <w:r>
        <w:separator/>
      </w:r>
    </w:p>
  </w:endnote>
  <w:endnote w:type="continuationSeparator" w:id="0">
    <w:p w14:paraId="37286C80" w14:textId="77777777" w:rsidR="00D33932" w:rsidRDefault="00D3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>
      <w:rPr>
        <w:rStyle w:val="Seitenzahl"/>
      </w:rPr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91D91" w14:textId="77777777" w:rsidR="00D33932" w:rsidRDefault="00D33932">
      <w:r>
        <w:separator/>
      </w:r>
    </w:p>
  </w:footnote>
  <w:footnote w:type="continuationSeparator" w:id="0">
    <w:p w14:paraId="7694A65B" w14:textId="77777777" w:rsidR="00D33932" w:rsidRDefault="00D3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 xml:space="preserve">Tisková zpráva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16B57"/>
    <w:multiLevelType w:val="hybridMultilevel"/>
    <w:tmpl w:val="2070EC20"/>
    <w:lvl w:ilvl="0" w:tplc="35BE3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374F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E26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1093"/>
    <w:rsid w:val="00156D91"/>
    <w:rsid w:val="00162FE7"/>
    <w:rsid w:val="0017028C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B5EA6"/>
    <w:rsid w:val="001C1C06"/>
    <w:rsid w:val="001C5D12"/>
    <w:rsid w:val="001D0511"/>
    <w:rsid w:val="001D2551"/>
    <w:rsid w:val="001D7272"/>
    <w:rsid w:val="001D7EAF"/>
    <w:rsid w:val="001E3C18"/>
    <w:rsid w:val="001F595A"/>
    <w:rsid w:val="00205AB3"/>
    <w:rsid w:val="00207733"/>
    <w:rsid w:val="00210153"/>
    <w:rsid w:val="00210655"/>
    <w:rsid w:val="002128BA"/>
    <w:rsid w:val="00213884"/>
    <w:rsid w:val="00233DCE"/>
    <w:rsid w:val="00236F32"/>
    <w:rsid w:val="0024388E"/>
    <w:rsid w:val="00246776"/>
    <w:rsid w:val="00266B69"/>
    <w:rsid w:val="002755FE"/>
    <w:rsid w:val="00277F51"/>
    <w:rsid w:val="0028080E"/>
    <w:rsid w:val="00286844"/>
    <w:rsid w:val="00291D93"/>
    <w:rsid w:val="002928E5"/>
    <w:rsid w:val="00294B58"/>
    <w:rsid w:val="002963DC"/>
    <w:rsid w:val="002A3A5D"/>
    <w:rsid w:val="002B441E"/>
    <w:rsid w:val="002B4B0F"/>
    <w:rsid w:val="002B6D9A"/>
    <w:rsid w:val="002C3F0C"/>
    <w:rsid w:val="002C409D"/>
    <w:rsid w:val="002C4569"/>
    <w:rsid w:val="002C6E25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1D28"/>
    <w:rsid w:val="00334645"/>
    <w:rsid w:val="00335AE0"/>
    <w:rsid w:val="00336842"/>
    <w:rsid w:val="003376F5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6AEC"/>
    <w:rsid w:val="00387580"/>
    <w:rsid w:val="00390989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C1386"/>
    <w:rsid w:val="003C27D8"/>
    <w:rsid w:val="003C46B7"/>
    <w:rsid w:val="003E00C4"/>
    <w:rsid w:val="003F09F4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34F5"/>
    <w:rsid w:val="00426264"/>
    <w:rsid w:val="004271F0"/>
    <w:rsid w:val="004353B2"/>
    <w:rsid w:val="004375D2"/>
    <w:rsid w:val="00440D2F"/>
    <w:rsid w:val="00441048"/>
    <w:rsid w:val="00444C4B"/>
    <w:rsid w:val="00451092"/>
    <w:rsid w:val="00451752"/>
    <w:rsid w:val="0045707C"/>
    <w:rsid w:val="00461FE7"/>
    <w:rsid w:val="004625C6"/>
    <w:rsid w:val="00463454"/>
    <w:rsid w:val="0046572D"/>
    <w:rsid w:val="004711A8"/>
    <w:rsid w:val="004767C6"/>
    <w:rsid w:val="00476F89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40F4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32877"/>
    <w:rsid w:val="006330DB"/>
    <w:rsid w:val="00645FBD"/>
    <w:rsid w:val="00650F39"/>
    <w:rsid w:val="006547F2"/>
    <w:rsid w:val="00656B1A"/>
    <w:rsid w:val="006630BD"/>
    <w:rsid w:val="006700CA"/>
    <w:rsid w:val="006707F7"/>
    <w:rsid w:val="00671914"/>
    <w:rsid w:val="00671C98"/>
    <w:rsid w:val="00671DBA"/>
    <w:rsid w:val="00677302"/>
    <w:rsid w:val="0068389F"/>
    <w:rsid w:val="00684A22"/>
    <w:rsid w:val="00687418"/>
    <w:rsid w:val="00690F4D"/>
    <w:rsid w:val="00691191"/>
    <w:rsid w:val="00695388"/>
    <w:rsid w:val="0069717D"/>
    <w:rsid w:val="006A3EE3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779D"/>
    <w:rsid w:val="00721B9E"/>
    <w:rsid w:val="00722A15"/>
    <w:rsid w:val="0072422F"/>
    <w:rsid w:val="0073096B"/>
    <w:rsid w:val="00731C34"/>
    <w:rsid w:val="00732783"/>
    <w:rsid w:val="00735EE6"/>
    <w:rsid w:val="00736E6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541C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55EF"/>
    <w:rsid w:val="007D6394"/>
    <w:rsid w:val="007E3B35"/>
    <w:rsid w:val="007F0D68"/>
    <w:rsid w:val="007F6E37"/>
    <w:rsid w:val="00804DEE"/>
    <w:rsid w:val="00811115"/>
    <w:rsid w:val="00814DDB"/>
    <w:rsid w:val="00820908"/>
    <w:rsid w:val="00830FCD"/>
    <w:rsid w:val="00831AFC"/>
    <w:rsid w:val="0083468D"/>
    <w:rsid w:val="008347D8"/>
    <w:rsid w:val="0083497C"/>
    <w:rsid w:val="00835DD4"/>
    <w:rsid w:val="00836FA8"/>
    <w:rsid w:val="008414C3"/>
    <w:rsid w:val="00845DD5"/>
    <w:rsid w:val="00850F7A"/>
    <w:rsid w:val="00853738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FCB"/>
    <w:rsid w:val="008B453D"/>
    <w:rsid w:val="008C06B6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46E3"/>
    <w:rsid w:val="0095515C"/>
    <w:rsid w:val="00963239"/>
    <w:rsid w:val="0096352A"/>
    <w:rsid w:val="00964985"/>
    <w:rsid w:val="0096613C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A4D1E"/>
    <w:rsid w:val="009A501A"/>
    <w:rsid w:val="009B0504"/>
    <w:rsid w:val="009B67A9"/>
    <w:rsid w:val="009C29B6"/>
    <w:rsid w:val="009C3B88"/>
    <w:rsid w:val="009D1A50"/>
    <w:rsid w:val="009D2D7D"/>
    <w:rsid w:val="009E00B6"/>
    <w:rsid w:val="009E513A"/>
    <w:rsid w:val="009F09F8"/>
    <w:rsid w:val="00A04748"/>
    <w:rsid w:val="00A064BA"/>
    <w:rsid w:val="00A07A44"/>
    <w:rsid w:val="00A16E43"/>
    <w:rsid w:val="00A21E91"/>
    <w:rsid w:val="00A329DF"/>
    <w:rsid w:val="00A35215"/>
    <w:rsid w:val="00A372BE"/>
    <w:rsid w:val="00A3733C"/>
    <w:rsid w:val="00A3789F"/>
    <w:rsid w:val="00A42E0D"/>
    <w:rsid w:val="00A44756"/>
    <w:rsid w:val="00A472BE"/>
    <w:rsid w:val="00A577E5"/>
    <w:rsid w:val="00A60C15"/>
    <w:rsid w:val="00A60D1F"/>
    <w:rsid w:val="00A6226B"/>
    <w:rsid w:val="00A66F0F"/>
    <w:rsid w:val="00A74BF6"/>
    <w:rsid w:val="00A7517C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0F1"/>
    <w:rsid w:val="00AB5CBB"/>
    <w:rsid w:val="00AC0506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51F7"/>
    <w:rsid w:val="00B234EB"/>
    <w:rsid w:val="00B308E7"/>
    <w:rsid w:val="00B40C37"/>
    <w:rsid w:val="00B40DED"/>
    <w:rsid w:val="00B41741"/>
    <w:rsid w:val="00B534E4"/>
    <w:rsid w:val="00B57513"/>
    <w:rsid w:val="00B57DF2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16E"/>
    <w:rsid w:val="00BB6B2C"/>
    <w:rsid w:val="00BB789C"/>
    <w:rsid w:val="00BC142B"/>
    <w:rsid w:val="00BC384F"/>
    <w:rsid w:val="00BC5C3B"/>
    <w:rsid w:val="00BD15FD"/>
    <w:rsid w:val="00BD21DC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47A2"/>
    <w:rsid w:val="00C252DD"/>
    <w:rsid w:val="00C318EE"/>
    <w:rsid w:val="00C43B71"/>
    <w:rsid w:val="00C509E9"/>
    <w:rsid w:val="00C54878"/>
    <w:rsid w:val="00C5644B"/>
    <w:rsid w:val="00C56C4B"/>
    <w:rsid w:val="00C71E4E"/>
    <w:rsid w:val="00C757FF"/>
    <w:rsid w:val="00C75DD3"/>
    <w:rsid w:val="00C7668C"/>
    <w:rsid w:val="00C76D4D"/>
    <w:rsid w:val="00C873E0"/>
    <w:rsid w:val="00C9242D"/>
    <w:rsid w:val="00C94245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3932"/>
    <w:rsid w:val="00D37C73"/>
    <w:rsid w:val="00D418B7"/>
    <w:rsid w:val="00D43895"/>
    <w:rsid w:val="00D53512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4F3"/>
    <w:rsid w:val="00E11FEA"/>
    <w:rsid w:val="00E12504"/>
    <w:rsid w:val="00E13FF0"/>
    <w:rsid w:val="00E14C70"/>
    <w:rsid w:val="00E202DF"/>
    <w:rsid w:val="00E227BD"/>
    <w:rsid w:val="00E27B00"/>
    <w:rsid w:val="00E308B3"/>
    <w:rsid w:val="00E35CD5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67F8"/>
    <w:rsid w:val="00E80D2F"/>
    <w:rsid w:val="00E827F0"/>
    <w:rsid w:val="00E85BAE"/>
    <w:rsid w:val="00E86C10"/>
    <w:rsid w:val="00E92344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31E3B"/>
    <w:rsid w:val="00F3710D"/>
    <w:rsid w:val="00F37E0F"/>
    <w:rsid w:val="00F40092"/>
    <w:rsid w:val="00F42557"/>
    <w:rsid w:val="00F43D0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ascii="Arial" w:eastAsia="Times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ascii="Arial" w:eastAsia="Times" w:hAnsi="Arial"/>
      <w:b/>
      <w:szCs w:val="26"/>
    </w:rPr>
  </w:style>
  <w:style w:type="character" w:default="1" w:styleId="Absatz-Standardschriftart">
    <w:name w:val="Default Paragraph Font"/>
    <w:uiPriority w:val="1"/>
    <w:semiHidden/>
    <w:unhideWhenUsed/>
    <w:rPr>
      <w:rFonts w:ascii="Times New Roman" w:hAnsi="Times New Roman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ascii="Arial" w:eastAsia="Times" w:hAnsi="Arial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  <w:rPr>
      <w:rFonts w:ascii="Arial" w:hAnsi="Arial"/>
    </w:r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  <w:rPr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www.kippwerk.de/de/de/Produkte/Bedienteile-Normelemente/Federnde-Druckst%C3%BCcke-Arretierbolzen-Kugelsperrbolzen/Arretierbolzen-mit-Zustandssensor.html?utm_source=email&amp;utm_medium=link&amp;utm_campaign=Neuheiten_Sch%C3%BC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Produkte/Produktlinien/FEATURE-grip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ppwerk.de/de/de/Download/Pressebereich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Produkte/Bedienteile-Normelemente/Federnde-Druckst%C3%BCcke-Arretierbolzen-Kugelsperrbolzen/Gateway-f%C3%BCr-Arretierbolzen-mit-Zustandssensor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4203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Beck Stefanie</cp:lastModifiedBy>
  <cp:revision>6</cp:revision>
  <cp:lastPrinted>2019-08-15T11:57:00Z</cp:lastPrinted>
  <dcterms:created xsi:type="dcterms:W3CDTF">2021-04-19T13:28:00Z</dcterms:created>
  <dcterms:modified xsi:type="dcterms:W3CDTF">2021-05-17T09:01:00Z</dcterms:modified>
</cp:coreProperties>
</file>